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399" w:rsidRPr="005A50E3" w:rsidRDefault="00A94399" w:rsidP="00A94399">
      <w:pPr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</w:p>
    <w:p w:rsidR="00E377D8" w:rsidRPr="00E377D8" w:rsidRDefault="00E377D8" w:rsidP="00A9439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77D8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Как защитить себя при незаконном </w:t>
      </w:r>
      <w:r w:rsidR="002D329E">
        <w:rPr>
          <w:rFonts w:ascii="Times New Roman" w:hAnsi="Times New Roman" w:cs="Times New Roman"/>
          <w:b/>
          <w:sz w:val="28"/>
          <w:szCs w:val="28"/>
          <w:u w:val="single"/>
        </w:rPr>
        <w:t>переводе пенсионных накоплений?</w:t>
      </w:r>
    </w:p>
    <w:p w:rsidR="00D06C8A" w:rsidRPr="0017162B" w:rsidRDefault="00214FD6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Если в</w:t>
      </w:r>
      <w:r w:rsidR="00432080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ы узнали о том, что средства в</w:t>
      </w:r>
      <w:r w:rsidR="00D06C8A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аших пенсионных накоплений переведены без </w:t>
      </w: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="00D06C8A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ашего согласия из Социального фонда России (СФР) в негосударственный пенсионный фонд (Н</w:t>
      </w:r>
      <w:r w:rsidR="001306A6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ПФ) или из одного НПФ в другой, </w:t>
      </w:r>
      <w:r w:rsidR="00D06C8A"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направьте </w:t>
      </w:r>
      <w:r w:rsidR="00D06C8A"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u w:val="single"/>
          <w:lang w:eastAsia="ru-RU"/>
        </w:rPr>
        <w:t>бесплатное</w:t>
      </w:r>
      <w:r w:rsidR="00D06C8A"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 обращение финансовому уполномоченному</w:t>
      </w:r>
      <w:r w:rsidR="007325BF"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.</w:t>
      </w:r>
    </w:p>
    <w:p w:rsidR="007325BF" w:rsidRPr="0017162B" w:rsidRDefault="007325BF" w:rsidP="004B2775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97006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Финансовый уполномоченный поможет </w:t>
      </w:r>
      <w:r w:rsidR="00214FD6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ам вернуть предыдущему страховщику по обязательному пенсионному страхованию:</w:t>
      </w:r>
    </w:p>
    <w:p w:rsidR="00D06C8A" w:rsidRPr="0017162B" w:rsidRDefault="00D06C8A" w:rsidP="00801C3C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пенсионных накоплений и иные суммы, связанные с их инвестированием;</w:t>
      </w:r>
    </w:p>
    <w:p w:rsidR="00D06C8A" w:rsidRPr="0017162B" w:rsidRDefault="00D06C8A" w:rsidP="00801C3C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проценты за неправомерное пользование средствами пенсионных накоплений.</w:t>
      </w:r>
    </w:p>
    <w:p w:rsidR="00D06C8A" w:rsidRPr="0017162B" w:rsidRDefault="00D06C8A" w:rsidP="00D06C8A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Как узнать, где находятся </w:t>
      </w:r>
      <w:r w:rsidR="00214FD6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аши пенсионные накопления?</w:t>
      </w:r>
    </w:p>
    <w:p w:rsidR="00D06C8A" w:rsidRPr="0017162B" w:rsidRDefault="00D06C8A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Проверить, где находятся </w:t>
      </w:r>
      <w:r w:rsidR="00214FD6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аши пенсионные накопления, можно в любое время – например, на портале </w:t>
      </w:r>
      <w:proofErr w:type="spellStart"/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Госуслуг</w:t>
      </w:r>
      <w:proofErr w:type="spellEnd"/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. Достаточно зайти в личный кабинет и выбрать услугу по получению выписки о состоя</w:t>
      </w:r>
      <w:r w:rsidR="0046649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нии индивидуального лицевого сче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та – в ней будет наименование текущего страховщика по обязательному пенсионному страхованию, у которого находятся средства </w:t>
      </w:r>
      <w:r w:rsidR="00214FD6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аших пенсионных накоплений.</w:t>
      </w:r>
    </w:p>
    <w:p w:rsidR="00D06C8A" w:rsidRPr="0017162B" w:rsidRDefault="00D06C8A" w:rsidP="00D06C8A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Как обратиться к финансовому уполномоченному?</w:t>
      </w:r>
    </w:p>
    <w:p w:rsidR="00D06C8A" w:rsidRPr="0017162B" w:rsidRDefault="00D06C8A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Если </w:t>
      </w:r>
      <w:r w:rsidR="00214FD6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ы узнали, что средства пенсионных накоплений переведены без </w:t>
      </w:r>
      <w:r w:rsidR="00214FD6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ашего согласия из СФР в НПФ или из одного НПФ в другой и при этом:</w:t>
      </w:r>
    </w:p>
    <w:p w:rsidR="00D06C8A" w:rsidRPr="0017162B" w:rsidRDefault="00214FD6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06C8A"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еще не установлена накопительная пенсия, срочная пенсионная выплата и (или) единовременная выплата средств пенсионных накоплений;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дня, когда </w:t>
      </w:r>
      <w:r w:rsidR="00214F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узнали или должны были узнать о нарушении своего </w:t>
      </w:r>
      <w:r w:rsidR="004B2775"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прошло не более трех лет.</w:t>
      </w:r>
    </w:p>
    <w:p w:rsidR="00D06C8A" w:rsidRPr="0017162B" w:rsidRDefault="00214FD6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Что нужно сделать для восстановления своих прав?</w:t>
      </w:r>
    </w:p>
    <w:p w:rsidR="00D06C8A" w:rsidRPr="0017162B" w:rsidRDefault="00D06C8A" w:rsidP="006723B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1. Направ</w:t>
      </w:r>
      <w:r w:rsidR="006A4797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ить</w:t>
      </w: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 xml:space="preserve"> заявление о восстановлении нарушенного права</w:t>
      </w:r>
      <w:r w:rsidR="00C40208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 xml:space="preserve"> (претензию)</w:t>
      </w: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 xml:space="preserve"> в НПФ, с которым у </w:t>
      </w:r>
      <w:r w:rsidR="006A4797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ас возник спор</w:t>
      </w:r>
    </w:p>
    <w:p w:rsidR="003A3DDA" w:rsidRPr="0017162B" w:rsidRDefault="003A3DDA" w:rsidP="006723B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6723B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НПФ должен направить ответ в течение: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рабочих дней, если заявление было направлено </w:t>
      </w:r>
      <w:r w:rsidR="006A479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в электронном виде по стандартной форме, размещенной на сайте финансового уполномоченного, и со дня нарушения </w:t>
      </w:r>
      <w:r w:rsidR="006A479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аших прав прошло не более 180 дней;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40 календарных дней в иных случаях.</w:t>
      </w: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lastRenderedPageBreak/>
        <w:t>2. Направьте обращение финансовому уполномоченному, если</w:t>
      </w:r>
      <w:r w:rsidR="00320F89"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br/>
      </w: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не согласны с принятым НПФ решением или не получили ответ в установленный срок</w:t>
      </w:r>
    </w:p>
    <w:p w:rsidR="003A3DDA" w:rsidRPr="0017162B" w:rsidRDefault="003A3DD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Обращение может быть направлено:</w:t>
      </w:r>
    </w:p>
    <w:p w:rsidR="00D06C8A" w:rsidRDefault="00D06C8A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электронной форме через личный кабинет на сайте финансового уполномоченного </w:t>
      </w:r>
      <w:hyperlink r:id="rId9" w:history="1">
        <w:proofErr w:type="spellStart"/>
        <w:r w:rsidR="00276A05" w:rsidRPr="00A5197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finombudsman.ru</w:t>
        </w:r>
      </w:hyperlink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proofErr w:type="spellEnd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портале </w:t>
      </w:r>
      <w:proofErr w:type="spellStart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7CB4" w:rsidRPr="00A51974" w:rsidRDefault="005E7CB4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hyperlink r:id="rId10" w:history="1">
        <w:r w:rsidR="00C242D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МФЦ Ставропольского края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609E" w:rsidRPr="00A51974" w:rsidRDefault="00D06C8A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бумажном носителе по адресу: 119017, г. Москва, </w:t>
      </w:r>
      <w:proofErr w:type="spellStart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Старом</w:t>
      </w:r>
      <w:r w:rsidR="00A75DAA"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онетный</w:t>
      </w:r>
      <w:proofErr w:type="spellEnd"/>
      <w:r w:rsidR="00A75DAA"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пер., д. 3, АНО «СОДФУ».</w:t>
      </w:r>
    </w:p>
    <w:p w:rsidR="00ED4646" w:rsidRPr="0017162B" w:rsidRDefault="00ED4646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Финансовый уполномоченный назначит почерковедческую экспертизу </w:t>
      </w:r>
      <w:r w:rsidR="006A4797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ашей подписи в договоре об обязательном пенсионном страховании и заявлении о смене страховщика. Для проведения экспертизы </w:t>
      </w:r>
      <w:r w:rsidR="006A4797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ам потребуется предоставить финансовому уполномоченному образцы своей подписи и документы, содержащие Вашу подпись.</w:t>
      </w:r>
    </w:p>
    <w:p w:rsidR="00ED4646" w:rsidRPr="0017162B" w:rsidRDefault="00ED4646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Если </w:t>
      </w:r>
      <w:r w:rsidR="006A4797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ы заключили с НПФ соглашение о том, что </w:t>
      </w:r>
      <w:r w:rsidR="006A4797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аш текущий договор об обязательном пенсионном страховании является незаключенным,</w:t>
      </w:r>
      <w:r w:rsidR="006A4797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 в</w:t>
      </w: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ам также необходимо обратиться к финансовому уполномоченному для завершения процедуры возврата пенсионных накоплений предыдущему страховщику по обязательному пенсионному страхованию.</w:t>
      </w:r>
    </w:p>
    <w:p w:rsidR="002821E4" w:rsidRPr="0017162B" w:rsidRDefault="002821E4" w:rsidP="00D06C8A">
      <w:pPr>
        <w:spacing w:after="0" w:line="360" w:lineRule="atLeast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 xml:space="preserve">3. Получите решение финансового уполномоченного </w:t>
      </w: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Решение финансового уполномоченного также будет направлено в </w:t>
      </w:r>
      <w:r w:rsidR="00EB5A45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СФР и в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НПФ.</w:t>
      </w: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Решение подлежит обязательному исполнению НПФне позднее 30 дней после его вступления в силу.</w:t>
      </w:r>
    </w:p>
    <w:p w:rsidR="00EB5A45" w:rsidRPr="0017162B" w:rsidRDefault="00EB5A45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СФР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по результатам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исполнения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НПФ 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решения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финансового уполномоченного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вносит изменения в единый реестр застрахованных лиц по обязательному пенсионному страхованию.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После этого</w:t>
      </w:r>
      <w:r w:rsidR="00F63B27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в</w:t>
      </w:r>
      <w:r w:rsidR="006A4797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="009634E1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ашей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выписке о состоянии </w:t>
      </w:r>
      <w:r w:rsidR="0046649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индивидуального лицевого сче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тав качестве текущего страховщика по обязательному пенсионному страхованию будет 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указан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страховщик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, которому возвращены средства пенсионных накоплений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(СФР или НПФ, из котор</w:t>
      </w:r>
      <w:r w:rsidR="000D6AA0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ого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пенсионные накопления были переведены без </w:t>
      </w:r>
      <w:r w:rsidR="006A4797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ашего согласия).</w:t>
      </w:r>
    </w:p>
    <w:p w:rsidR="00D06C8A" w:rsidRPr="0017162B" w:rsidRDefault="00D06C8A" w:rsidP="00D06C8A">
      <w:pPr>
        <w:spacing w:after="0" w:line="360" w:lineRule="atLeast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C24092" w:rsidRDefault="00103D7F" w:rsidP="001E6BF3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Ознакомиться с подробной информацией можно на сайте finombudsman.ru в разделе «База знаний» </w:t>
      </w:r>
      <w:hyperlink r:id="rId11" w:history="1">
        <w:r w:rsidRPr="0017162B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по ссылке</w:t>
        </w:r>
      </w:hyperlink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.</w:t>
      </w:r>
    </w:p>
    <w:p w:rsidR="00A70CF4" w:rsidRPr="0017162B" w:rsidRDefault="00A70CF4" w:rsidP="001E6BF3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76A9" w:rsidRDefault="00D676A9" w:rsidP="0017162B">
      <w:pPr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highlight w:val="lightGray"/>
          <w:u w:val="single"/>
        </w:rPr>
      </w:pPr>
      <w:r w:rsidRPr="001716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 том</w:t>
      </w:r>
      <w:r w:rsidRPr="001716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 как защитить себя при незаконном переводе пенсионных накоплений</w:t>
      </w:r>
      <w:r w:rsidR="00F40B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читайте также в карточках</w:t>
      </w:r>
      <w:r w:rsidRPr="001716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highlight w:val="lightGray"/>
          <w:u w:val="single"/>
        </w:rPr>
        <w:br w:type="page"/>
      </w:r>
    </w:p>
    <w:p w:rsidR="00D676A9" w:rsidRPr="005A50E3" w:rsidRDefault="00D676A9" w:rsidP="00D676A9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lightGray"/>
          <w:u w:val="single"/>
        </w:rPr>
      </w:pPr>
    </w:p>
    <w:p w:rsidR="00D676A9" w:rsidRPr="004555E1" w:rsidRDefault="00D676A9" w:rsidP="00D676A9">
      <w:pPr>
        <w:spacing w:line="256" w:lineRule="auto"/>
        <w:jc w:val="both"/>
        <w:rPr>
          <w:rFonts w:ascii="Times New Roman" w:eastAsia="Calibri" w:hAnsi="Times New Roman" w:cs="Times New Roman"/>
          <w:b/>
          <w:color w:val="002060"/>
          <w:sz w:val="24"/>
          <w:szCs w:val="24"/>
          <w:highlight w:val="lightGray"/>
          <w:u w:val="single"/>
        </w:rPr>
      </w:pPr>
      <w:r w:rsidRPr="004555E1">
        <w:rPr>
          <w:rFonts w:ascii="Times New Roman" w:eastAsia="Calibri" w:hAnsi="Times New Roman" w:cs="Times New Roman"/>
          <w:b/>
          <w:color w:val="002060"/>
          <w:sz w:val="24"/>
          <w:szCs w:val="24"/>
          <w:highlight w:val="lightGray"/>
          <w:u w:val="single"/>
        </w:rPr>
        <w:t>Дополнение к публикации (ка</w:t>
      </w:r>
      <w:r w:rsidR="006F0A43">
        <w:rPr>
          <w:rFonts w:ascii="Times New Roman" w:eastAsia="Calibri" w:hAnsi="Times New Roman" w:cs="Times New Roman"/>
          <w:b/>
          <w:color w:val="002060"/>
          <w:sz w:val="24"/>
          <w:szCs w:val="24"/>
          <w:highlight w:val="lightGray"/>
          <w:u w:val="single"/>
        </w:rPr>
        <w:t xml:space="preserve">рточки (см. п.1) публикуются </w:t>
      </w:r>
      <w:r w:rsidRPr="004555E1">
        <w:rPr>
          <w:rFonts w:ascii="Times New Roman" w:eastAsia="Calibri" w:hAnsi="Times New Roman" w:cs="Times New Roman"/>
          <w:b/>
          <w:color w:val="002060"/>
          <w:sz w:val="24"/>
          <w:szCs w:val="24"/>
          <w:highlight w:val="lightGray"/>
          <w:u w:val="single"/>
        </w:rPr>
        <w:t>вместе с текстом/остальное на выбор)</w:t>
      </w:r>
      <w:r w:rsidR="006F0A43">
        <w:rPr>
          <w:rStyle w:val="af1"/>
          <w:rFonts w:ascii="Times New Roman" w:eastAsia="Calibri" w:hAnsi="Times New Roman" w:cs="Times New Roman"/>
          <w:b/>
          <w:color w:val="002060"/>
          <w:sz w:val="24"/>
          <w:szCs w:val="24"/>
          <w:u w:val="single"/>
        </w:rPr>
        <w:footnoteReference w:id="1"/>
      </w:r>
      <w:r w:rsidRPr="004555E1">
        <w:rPr>
          <w:rFonts w:ascii="Times New Roman" w:eastAsia="Calibri" w:hAnsi="Times New Roman" w:cs="Times New Roman"/>
          <w:b/>
          <w:color w:val="002060"/>
          <w:sz w:val="24"/>
          <w:szCs w:val="24"/>
          <w:highlight w:val="lightGray"/>
          <w:u w:val="single"/>
        </w:rPr>
        <w:t>:</w:t>
      </w:r>
    </w:p>
    <w:p w:rsidR="00D676A9" w:rsidRPr="005A50E3" w:rsidRDefault="00FD5C83" w:rsidP="00D676A9">
      <w:pPr>
        <w:pStyle w:val="a6"/>
        <w:numPr>
          <w:ilvl w:val="0"/>
          <w:numId w:val="6"/>
        </w:numPr>
        <w:spacing w:line="256" w:lineRule="auto"/>
        <w:rPr>
          <w:rFonts w:ascii="Times New Roman" w:eastAsia="Calibri" w:hAnsi="Times New Roman" w:cs="Times New Roman"/>
          <w:sz w:val="24"/>
          <w:szCs w:val="24"/>
          <w:highlight w:val="lightGray"/>
        </w:rPr>
      </w:pPr>
      <w:r>
        <w:rPr>
          <w:rFonts w:ascii="Times New Roman" w:eastAsia="Calibri" w:hAnsi="Times New Roman" w:cs="Times New Roman"/>
          <w:sz w:val="24"/>
          <w:szCs w:val="24"/>
          <w:highlight w:val="lightGray"/>
        </w:rPr>
        <w:t>Карточки (</w:t>
      </w:r>
      <w:r w:rsidR="002E5D32" w:rsidRPr="002E5D32">
        <w:rPr>
          <w:rFonts w:ascii="Times New Roman" w:eastAsia="Calibri" w:hAnsi="Times New Roman" w:cs="Times New Roman"/>
          <w:sz w:val="24"/>
          <w:szCs w:val="24"/>
          <w:highlight w:val="lightGray"/>
        </w:rPr>
        <w:t>9</w:t>
      </w:r>
      <w:r w:rsidR="00D676A9" w:rsidRPr="005A50E3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шт.). </w:t>
      </w:r>
      <w:r w:rsidR="00D676A9" w:rsidRPr="005A50E3">
        <w:rPr>
          <w:rFonts w:ascii="Times New Roman" w:eastAsia="Calibri" w:hAnsi="Times New Roman" w:cs="Times New Roman"/>
          <w:sz w:val="24"/>
          <w:szCs w:val="24"/>
        </w:rPr>
        <w:t xml:space="preserve">Публикуются </w:t>
      </w:r>
      <w:r w:rsidR="00D676A9" w:rsidRPr="005A50E3">
        <w:rPr>
          <w:rFonts w:ascii="Times New Roman" w:eastAsia="Calibri" w:hAnsi="Times New Roman" w:cs="Times New Roman"/>
          <w:b/>
          <w:sz w:val="24"/>
          <w:szCs w:val="24"/>
        </w:rPr>
        <w:t>совместно</w:t>
      </w:r>
      <w:r w:rsidR="00D676A9" w:rsidRPr="005A50E3">
        <w:rPr>
          <w:rFonts w:ascii="Times New Roman" w:eastAsia="Calibri" w:hAnsi="Times New Roman" w:cs="Times New Roman"/>
          <w:sz w:val="24"/>
          <w:szCs w:val="24"/>
        </w:rPr>
        <w:t xml:space="preserve"> с текстом Публикации (при публикации </w:t>
      </w:r>
      <w:r w:rsidR="00D676A9">
        <w:rPr>
          <w:rFonts w:ascii="Times New Roman" w:eastAsia="Calibri" w:hAnsi="Times New Roman" w:cs="Times New Roman"/>
          <w:sz w:val="24"/>
          <w:szCs w:val="24"/>
        </w:rPr>
        <w:t>–</w:t>
      </w:r>
      <w:r w:rsidR="00D676A9" w:rsidRPr="005A50E3">
        <w:rPr>
          <w:rFonts w:ascii="Times New Roman" w:eastAsia="Calibri" w:hAnsi="Times New Roman" w:cs="Times New Roman"/>
          <w:sz w:val="24"/>
          <w:szCs w:val="24"/>
        </w:rPr>
        <w:t xml:space="preserve"> карточки необходимо располагать строго в предоставленном </w:t>
      </w:r>
      <w:r w:rsidR="00D676A9">
        <w:rPr>
          <w:rFonts w:ascii="Times New Roman" w:eastAsia="Calibri" w:hAnsi="Times New Roman" w:cs="Times New Roman"/>
          <w:sz w:val="24"/>
          <w:szCs w:val="24"/>
        </w:rPr>
        <w:t xml:space="preserve">объеме и </w:t>
      </w:r>
      <w:r w:rsidR="00D676A9" w:rsidRPr="005A50E3">
        <w:rPr>
          <w:rFonts w:ascii="Times New Roman" w:eastAsia="Calibri" w:hAnsi="Times New Roman" w:cs="Times New Roman"/>
          <w:sz w:val="24"/>
          <w:szCs w:val="24"/>
        </w:rPr>
        <w:t>порядке</w:t>
      </w:r>
      <w:r w:rsidR="00D676A9">
        <w:rPr>
          <w:rFonts w:ascii="Times New Roman" w:eastAsia="Calibri" w:hAnsi="Times New Roman" w:cs="Times New Roman"/>
          <w:sz w:val="24"/>
          <w:szCs w:val="24"/>
        </w:rPr>
        <w:t>)</w:t>
      </w:r>
      <w:r w:rsidR="00D676A9" w:rsidRPr="005A50E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76A9" w:rsidRPr="005A50E3" w:rsidRDefault="00D676A9" w:rsidP="00D676A9">
      <w:pPr>
        <w:pStyle w:val="a6"/>
        <w:spacing w:line="256" w:lineRule="auto"/>
        <w:ind w:left="426"/>
        <w:rPr>
          <w:rFonts w:ascii="Times New Roman" w:eastAsia="Calibri" w:hAnsi="Times New Roman" w:cs="Times New Roman"/>
          <w:sz w:val="24"/>
          <w:szCs w:val="24"/>
          <w:highlight w:val="lightGray"/>
        </w:rPr>
      </w:pPr>
    </w:p>
    <w:p w:rsidR="00D676A9" w:rsidRPr="005A50E3" w:rsidRDefault="00D676A9" w:rsidP="00D676A9">
      <w:pPr>
        <w:pStyle w:val="a6"/>
        <w:numPr>
          <w:ilvl w:val="0"/>
          <w:numId w:val="6"/>
        </w:numPr>
        <w:spacing w:line="256" w:lineRule="auto"/>
        <w:rPr>
          <w:rFonts w:ascii="Times New Roman" w:eastAsia="Calibri" w:hAnsi="Times New Roman" w:cs="Times New Roman"/>
          <w:sz w:val="24"/>
          <w:szCs w:val="24"/>
          <w:highlight w:val="lightGray"/>
        </w:rPr>
      </w:pPr>
      <w:r w:rsidRPr="005A50E3">
        <w:rPr>
          <w:rFonts w:ascii="Times New Roman" w:eastAsia="Calibri" w:hAnsi="Times New Roman" w:cs="Times New Roman"/>
          <w:sz w:val="24"/>
          <w:szCs w:val="24"/>
          <w:highlight w:val="lightGray"/>
        </w:rPr>
        <w:t>Изображение к публикации (на выбор):</w:t>
      </w:r>
    </w:p>
    <w:p w:rsidR="00D676A9" w:rsidRPr="005A50E3" w:rsidRDefault="00D676A9" w:rsidP="00D676A9">
      <w:pPr>
        <w:numPr>
          <w:ilvl w:val="0"/>
          <w:numId w:val="7"/>
        </w:numPr>
        <w:spacing w:line="252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A50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2300*1680 пикселей </w:t>
      </w:r>
      <w:hyperlink r:id="rId12" w:history="1">
        <w:r w:rsidRPr="004B5648">
          <w:rPr>
            <w:rStyle w:val="a5"/>
            <w:rFonts w:ascii="Times New Roman" w:eastAsia="Calibri" w:hAnsi="Times New Roman" w:cs="Times New Roman"/>
            <w:sz w:val="24"/>
            <w:szCs w:val="24"/>
            <w:lang w:eastAsia="ru-RU"/>
          </w:rPr>
          <w:t>https://disk.yandex.ru/i/oJoj8RjNXPiAMQ</w:t>
        </w:r>
      </w:hyperlink>
    </w:p>
    <w:p w:rsidR="00D676A9" w:rsidRPr="005A50E3" w:rsidRDefault="00D676A9" w:rsidP="00D676A9">
      <w:pPr>
        <w:numPr>
          <w:ilvl w:val="0"/>
          <w:numId w:val="7"/>
        </w:num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50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1200*600 пикселей </w:t>
      </w:r>
      <w:hyperlink r:id="rId13" w:history="1">
        <w:r w:rsidRPr="004B5648">
          <w:rPr>
            <w:rStyle w:val="a5"/>
            <w:rFonts w:ascii="Times New Roman" w:eastAsia="Calibri" w:hAnsi="Times New Roman" w:cs="Times New Roman"/>
            <w:sz w:val="24"/>
            <w:szCs w:val="24"/>
            <w:lang w:eastAsia="ru-RU"/>
          </w:rPr>
          <w:t>https://disk.yandex.ru/i/gzbaAxfgwYVkUQ</w:t>
        </w:r>
      </w:hyperlink>
    </w:p>
    <w:p w:rsidR="00D06C8A" w:rsidRPr="005A50E3" w:rsidRDefault="00D06C8A" w:rsidP="00103D7F">
      <w:pPr>
        <w:rPr>
          <w:rFonts w:ascii="Times New Roman" w:hAnsi="Times New Roman" w:cs="Times New Roman"/>
          <w:sz w:val="28"/>
          <w:szCs w:val="28"/>
        </w:rPr>
      </w:pPr>
    </w:p>
    <w:sectPr w:rsidR="00D06C8A" w:rsidRPr="005A50E3" w:rsidSect="00A70CF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43D" w:rsidRDefault="0014243D" w:rsidP="006F0A43">
      <w:pPr>
        <w:spacing w:after="0" w:line="240" w:lineRule="auto"/>
      </w:pPr>
      <w:r>
        <w:separator/>
      </w:r>
    </w:p>
  </w:endnote>
  <w:endnote w:type="continuationSeparator" w:id="0">
    <w:p w:rsidR="0014243D" w:rsidRDefault="0014243D" w:rsidP="006F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43D" w:rsidRDefault="0014243D" w:rsidP="006F0A43">
      <w:pPr>
        <w:spacing w:after="0" w:line="240" w:lineRule="auto"/>
      </w:pPr>
      <w:r>
        <w:separator/>
      </w:r>
    </w:p>
  </w:footnote>
  <w:footnote w:type="continuationSeparator" w:id="0">
    <w:p w:rsidR="0014243D" w:rsidRDefault="0014243D" w:rsidP="006F0A43">
      <w:pPr>
        <w:spacing w:after="0" w:line="240" w:lineRule="auto"/>
      </w:pPr>
      <w:r>
        <w:continuationSeparator/>
      </w:r>
    </w:p>
  </w:footnote>
  <w:footnote w:id="1">
    <w:p w:rsidR="006F0A43" w:rsidRPr="006F0A43" w:rsidRDefault="006F0A43" w:rsidP="006F0A43">
      <w:pPr>
        <w:pStyle w:val="af"/>
        <w:ind w:right="-426"/>
        <w:rPr>
          <w:rFonts w:ascii="Times New Roman" w:hAnsi="Times New Roman" w:cs="Times New Roman"/>
        </w:rPr>
      </w:pPr>
      <w:r w:rsidRPr="006F0A43">
        <w:rPr>
          <w:rStyle w:val="af1"/>
          <w:rFonts w:ascii="Times New Roman" w:hAnsi="Times New Roman" w:cs="Times New Roman"/>
        </w:rPr>
        <w:footnoteRef/>
      </w:r>
      <w:proofErr w:type="spellStart"/>
      <w:r w:rsidRPr="006F0A43">
        <w:rPr>
          <w:rFonts w:ascii="Times New Roman" w:hAnsi="Times New Roman" w:cs="Times New Roman"/>
          <w:i/>
        </w:rPr>
        <w:t>Справочно</w:t>
      </w:r>
      <w:proofErr w:type="spellEnd"/>
      <w:r w:rsidRPr="006F0A43">
        <w:rPr>
          <w:rFonts w:ascii="Times New Roman" w:hAnsi="Times New Roman" w:cs="Times New Roman"/>
          <w:i/>
        </w:rPr>
        <w:t xml:space="preserve"> (ВАЖНО): этот подраздел носит технический характер и его </w:t>
      </w:r>
      <w:r w:rsidRPr="006F0A43">
        <w:rPr>
          <w:rFonts w:ascii="Times New Roman" w:hAnsi="Times New Roman" w:cs="Times New Roman"/>
          <w:i/>
          <w:u w:val="single"/>
        </w:rPr>
        <w:t>текст</w:t>
      </w:r>
      <w:r w:rsidRPr="006F0A43">
        <w:rPr>
          <w:rFonts w:ascii="Times New Roman" w:hAnsi="Times New Roman" w:cs="Times New Roman"/>
          <w:b/>
          <w:i/>
        </w:rPr>
        <w:t>НЕ подлежит</w:t>
      </w:r>
      <w:r w:rsidRPr="006F0A43">
        <w:rPr>
          <w:rFonts w:ascii="Times New Roman" w:hAnsi="Times New Roman" w:cs="Times New Roman"/>
          <w:i/>
        </w:rPr>
        <w:t xml:space="preserve"> публикации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008"/>
    <w:multiLevelType w:val="multilevel"/>
    <w:tmpl w:val="29B8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229F3"/>
    <w:multiLevelType w:val="hybridMultilevel"/>
    <w:tmpl w:val="1DC8F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426C3"/>
    <w:multiLevelType w:val="multilevel"/>
    <w:tmpl w:val="858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83D67"/>
    <w:multiLevelType w:val="multilevel"/>
    <w:tmpl w:val="B94076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>
    <w:nsid w:val="449836CF"/>
    <w:multiLevelType w:val="multilevel"/>
    <w:tmpl w:val="9F96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A4029"/>
    <w:multiLevelType w:val="multilevel"/>
    <w:tmpl w:val="6108EE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>
    <w:nsid w:val="55E3272D"/>
    <w:multiLevelType w:val="multilevel"/>
    <w:tmpl w:val="6254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9472A7"/>
    <w:multiLevelType w:val="hybridMultilevel"/>
    <w:tmpl w:val="62D6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65C"/>
    <w:rsid w:val="00001797"/>
    <w:rsid w:val="000068C1"/>
    <w:rsid w:val="00033FEB"/>
    <w:rsid w:val="000756D9"/>
    <w:rsid w:val="000B49BF"/>
    <w:rsid w:val="000D6AA0"/>
    <w:rsid w:val="00103D7F"/>
    <w:rsid w:val="00110D77"/>
    <w:rsid w:val="001306A6"/>
    <w:rsid w:val="00134BDB"/>
    <w:rsid w:val="001359B8"/>
    <w:rsid w:val="0014243D"/>
    <w:rsid w:val="0015265C"/>
    <w:rsid w:val="0017162B"/>
    <w:rsid w:val="00192D41"/>
    <w:rsid w:val="00194B54"/>
    <w:rsid w:val="001E6BF3"/>
    <w:rsid w:val="00214FD6"/>
    <w:rsid w:val="00276A05"/>
    <w:rsid w:val="002821E4"/>
    <w:rsid w:val="0029132B"/>
    <w:rsid w:val="002A6C13"/>
    <w:rsid w:val="002D329E"/>
    <w:rsid w:val="002E0E7F"/>
    <w:rsid w:val="002E5D32"/>
    <w:rsid w:val="00320F89"/>
    <w:rsid w:val="003409B0"/>
    <w:rsid w:val="00345330"/>
    <w:rsid w:val="003A3DDA"/>
    <w:rsid w:val="003D342D"/>
    <w:rsid w:val="003E1FA7"/>
    <w:rsid w:val="00405257"/>
    <w:rsid w:val="00432080"/>
    <w:rsid w:val="004555E1"/>
    <w:rsid w:val="0046649B"/>
    <w:rsid w:val="004B2775"/>
    <w:rsid w:val="004C0AB9"/>
    <w:rsid w:val="00503341"/>
    <w:rsid w:val="005748A4"/>
    <w:rsid w:val="005A50E3"/>
    <w:rsid w:val="005E7CB4"/>
    <w:rsid w:val="00604203"/>
    <w:rsid w:val="006418A5"/>
    <w:rsid w:val="006468C4"/>
    <w:rsid w:val="006723BE"/>
    <w:rsid w:val="006A4797"/>
    <w:rsid w:val="006A7566"/>
    <w:rsid w:val="006F0A43"/>
    <w:rsid w:val="007325BF"/>
    <w:rsid w:val="00764E6B"/>
    <w:rsid w:val="00766A07"/>
    <w:rsid w:val="00784F28"/>
    <w:rsid w:val="00796CA9"/>
    <w:rsid w:val="007B4DC7"/>
    <w:rsid w:val="007E7C7D"/>
    <w:rsid w:val="00801C3C"/>
    <w:rsid w:val="00815EE1"/>
    <w:rsid w:val="00833F70"/>
    <w:rsid w:val="0090149C"/>
    <w:rsid w:val="009634E1"/>
    <w:rsid w:val="00970067"/>
    <w:rsid w:val="009813EE"/>
    <w:rsid w:val="009858AB"/>
    <w:rsid w:val="00A51974"/>
    <w:rsid w:val="00A70CF4"/>
    <w:rsid w:val="00A75DAA"/>
    <w:rsid w:val="00A90956"/>
    <w:rsid w:val="00A91CB0"/>
    <w:rsid w:val="00A94399"/>
    <w:rsid w:val="00B07ADF"/>
    <w:rsid w:val="00B97F38"/>
    <w:rsid w:val="00BA678F"/>
    <w:rsid w:val="00BE0EB8"/>
    <w:rsid w:val="00C24092"/>
    <w:rsid w:val="00C242D6"/>
    <w:rsid w:val="00C40208"/>
    <w:rsid w:val="00CC5F22"/>
    <w:rsid w:val="00D06C8A"/>
    <w:rsid w:val="00D676A9"/>
    <w:rsid w:val="00D764FE"/>
    <w:rsid w:val="00D84D1D"/>
    <w:rsid w:val="00DD7A96"/>
    <w:rsid w:val="00E377D8"/>
    <w:rsid w:val="00E64A2C"/>
    <w:rsid w:val="00E754A6"/>
    <w:rsid w:val="00E8773A"/>
    <w:rsid w:val="00EB5A45"/>
    <w:rsid w:val="00ED2AB6"/>
    <w:rsid w:val="00ED4646"/>
    <w:rsid w:val="00EE47E3"/>
    <w:rsid w:val="00F22191"/>
    <w:rsid w:val="00F27515"/>
    <w:rsid w:val="00F30496"/>
    <w:rsid w:val="00F40B75"/>
    <w:rsid w:val="00F63B27"/>
    <w:rsid w:val="00FA7F3F"/>
    <w:rsid w:val="00FB609E"/>
    <w:rsid w:val="00FD0513"/>
    <w:rsid w:val="00FD5C83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C13"/>
  </w:style>
  <w:style w:type="paragraph" w:styleId="3">
    <w:name w:val="heading 3"/>
    <w:basedOn w:val="a"/>
    <w:link w:val="30"/>
    <w:uiPriority w:val="9"/>
    <w:qFormat/>
    <w:rsid w:val="00152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26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26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26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2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265C"/>
    <w:rPr>
      <w:b/>
      <w:bCs/>
    </w:rPr>
  </w:style>
  <w:style w:type="character" w:styleId="a5">
    <w:name w:val="Hyperlink"/>
    <w:basedOn w:val="a0"/>
    <w:uiPriority w:val="99"/>
    <w:unhideWhenUsed/>
    <w:rsid w:val="0015265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06C8A"/>
    <w:pPr>
      <w:spacing w:after="0" w:line="240" w:lineRule="auto"/>
      <w:ind w:left="720"/>
    </w:pPr>
    <w:rPr>
      <w:rFonts w:ascii="Calibri" w:hAnsi="Calibri" w:cs="Calibri"/>
    </w:rPr>
  </w:style>
  <w:style w:type="character" w:styleId="a7">
    <w:name w:val="annotation reference"/>
    <w:basedOn w:val="a0"/>
    <w:uiPriority w:val="99"/>
    <w:semiHidden/>
    <w:unhideWhenUsed/>
    <w:rsid w:val="00E877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877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877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877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877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87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73A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E64A2C"/>
    <w:rPr>
      <w:color w:val="954F72" w:themeColor="followed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6F0A4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F0A43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F0A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isk.yandex.ru/i/gzbaAxfgwYVkUQ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isk.yandex.ru/i/oJoj8RjNXPiAM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nombudsman.ru/kb/spory-podlezhashchie-rassmotreniyu-finansovym-upolnomochennym/spor-s-negosudarstvennyim-pensionnyim-fondom-(npf)-o-nepravomernom-perevode-pensionnyix-nakoplenij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umfc26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inombudsma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35FDE-982B-4653-A032-39B5AA89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Серновец Наталья Ильинична</dc:creator>
  <cp:lastModifiedBy>User</cp:lastModifiedBy>
  <cp:revision>3</cp:revision>
  <dcterms:created xsi:type="dcterms:W3CDTF">2026-09-11T08:18:00Z</dcterms:created>
  <dcterms:modified xsi:type="dcterms:W3CDTF">2026-09-17T10:29:00Z</dcterms:modified>
</cp:coreProperties>
</file>